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CE5C1F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GoBack"/>
      <w:bookmarkEnd w:id="0"/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990058">
        <w:rPr>
          <w:rFonts w:ascii="Calibri" w:hAnsi="Calibri"/>
        </w:rPr>
        <w:t>ENG8</w:t>
      </w:r>
      <w:r w:rsidR="00E204B1">
        <w:rPr>
          <w:rFonts w:ascii="Calibri" w:hAnsi="Calibri"/>
        </w:rPr>
        <w:t>-9.4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4E7D5BD6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990058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E204B1">
        <w:rPr>
          <w:b/>
        </w:rPr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5E0E416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E204B1">
        <w:tab/>
      </w:r>
      <w:r w:rsidR="00E204B1">
        <w:tab/>
        <w:t>9</w:t>
      </w:r>
    </w:p>
    <w:p w14:paraId="5C721796" w14:textId="2EDA563E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>WG</w:t>
      </w:r>
      <w:r w:rsidR="00990058">
        <w:t>1</w:t>
      </w:r>
    </w:p>
    <w:p w14:paraId="01FC5420" w14:textId="0DEE4CE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990058">
        <w:t>Seamus Doyle</w:t>
      </w:r>
    </w:p>
    <w:p w14:paraId="4834080C" w14:textId="49ABD673" w:rsidR="00A446C9" w:rsidRPr="00CC2DCC" w:rsidRDefault="00990058" w:rsidP="00F36489">
      <w:pPr>
        <w:pStyle w:val="Title"/>
        <w:rPr>
          <w:color w:val="00558C"/>
        </w:rPr>
      </w:pPr>
      <w:r>
        <w:rPr>
          <w:color w:val="00558C"/>
        </w:rPr>
        <w:t>Definitions in IALA Dictionary</w:t>
      </w:r>
      <w:r w:rsidR="0027438B">
        <w:rPr>
          <w:color w:val="00558C"/>
        </w:rPr>
        <w:t xml:space="preserve"> – Visual Aids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5432CFB6" w14:textId="2DC6CF80" w:rsidR="00B56BDF" w:rsidRPr="007A395D" w:rsidRDefault="00990058" w:rsidP="00F36489">
      <w:pPr>
        <w:pStyle w:val="BodyText"/>
      </w:pPr>
      <w:r>
        <w:t xml:space="preserve">Under ENG7 action 22 the IALA Secretariat was requested to upload definitions from </w:t>
      </w:r>
      <w:r w:rsidR="003B67CA">
        <w:t xml:space="preserve">Guidelines </w:t>
      </w:r>
      <w:r w:rsidR="00A01AB0">
        <w:t>to the IALA Dictionary</w:t>
      </w:r>
      <w:r w:rsidR="0086654F" w:rsidRPr="007A395D"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F990D1F" w14:textId="77777777" w:rsidR="003B67CA" w:rsidRDefault="00990058" w:rsidP="00F36489">
      <w:pPr>
        <w:pStyle w:val="BodyText"/>
      </w:pPr>
      <w:r>
        <w:t>Guideline G1065 Ed3, Dec 2017</w:t>
      </w:r>
      <w:r w:rsidR="00E55927" w:rsidRPr="00F36489">
        <w:t>.</w:t>
      </w:r>
      <w:r w:rsidR="00A01AB0">
        <w:t xml:space="preserve"> </w:t>
      </w:r>
    </w:p>
    <w:p w14:paraId="4C0F77D7" w14:textId="77777777" w:rsidR="003B67CA" w:rsidRDefault="00A01AB0" w:rsidP="00F36489">
      <w:pPr>
        <w:pStyle w:val="BodyText"/>
      </w:pPr>
      <w:r>
        <w:t>Guideline 1072, Dec 2017.</w:t>
      </w:r>
      <w:r w:rsidR="003B67CA">
        <w:t xml:space="preserve"> </w:t>
      </w:r>
    </w:p>
    <w:p w14:paraId="553E55ED" w14:textId="08753F9C" w:rsidR="00E55927" w:rsidRPr="00F36489" w:rsidRDefault="003B67CA" w:rsidP="00F36489">
      <w:pPr>
        <w:pStyle w:val="BodyText"/>
      </w:pPr>
      <w:r>
        <w:t>Guideline 1134, Dec 2017.</w:t>
      </w:r>
    </w:p>
    <w:p w14:paraId="7FD17989" w14:textId="376E22B1" w:rsidR="008E0A97" w:rsidRPr="008E0A97" w:rsidRDefault="008E0A97" w:rsidP="008E0A97">
      <w:pPr>
        <w:pStyle w:val="Heading2"/>
      </w:pPr>
      <w:r w:rsidRPr="008E0A97">
        <w:rPr>
          <w:caps/>
          <w:kern w:val="28"/>
          <w:sz w:val="22"/>
          <w:szCs w:val="22"/>
          <w:lang w:eastAsia="de-DE"/>
        </w:rPr>
        <w:t xml:space="preserve">Definitions of Detection, Identification and Confirmation </w:t>
      </w:r>
    </w:p>
    <w:p w14:paraId="499AB8FA" w14:textId="2230710F" w:rsidR="00990058" w:rsidRDefault="00990058" w:rsidP="008E0A97">
      <w:pPr>
        <w:pStyle w:val="BodyText"/>
      </w:pPr>
      <w:r>
        <w:t>Definitions of Detection, Identification and Confirmation provided in Guideline G1065 are different from, and not as comprehensive as, definitions of these terms in Guideline G1073.</w:t>
      </w:r>
      <w:r w:rsidR="00421015">
        <w:t xml:space="preserve"> Definitions from G1073 have been uploaded to the Dictionary.</w:t>
      </w:r>
    </w:p>
    <w:p w14:paraId="75E69E6B" w14:textId="7B1738BB" w:rsidR="00990058" w:rsidRPr="00421015" w:rsidRDefault="00990058" w:rsidP="00F36489">
      <w:pPr>
        <w:pStyle w:val="BodyText"/>
        <w:rPr>
          <w:b/>
          <w:u w:val="single"/>
        </w:rPr>
      </w:pPr>
      <w:r w:rsidRPr="00421015">
        <w:rPr>
          <w:b/>
          <w:u w:val="single"/>
        </w:rPr>
        <w:t>Guideline 1065:</w:t>
      </w:r>
    </w:p>
    <w:p w14:paraId="44E86182" w14:textId="50231E5D" w:rsidR="00990058" w:rsidRDefault="00990058" w:rsidP="00B60EE8">
      <w:pPr>
        <w:pStyle w:val="List1"/>
        <w:numPr>
          <w:ilvl w:val="0"/>
          <w:numId w:val="19"/>
        </w:numPr>
      </w:pPr>
      <w:r w:rsidRPr="00131134">
        <w:rPr>
          <w:b/>
        </w:rPr>
        <w:t>Detection</w:t>
      </w:r>
      <w:r>
        <w:t>: the mariner observes the signal.</w:t>
      </w:r>
    </w:p>
    <w:p w14:paraId="21F19092" w14:textId="77777777" w:rsidR="00990058" w:rsidRDefault="00990058" w:rsidP="00B60EE8">
      <w:pPr>
        <w:pStyle w:val="List1"/>
        <w:numPr>
          <w:ilvl w:val="0"/>
          <w:numId w:val="19"/>
        </w:numPr>
      </w:pPr>
      <w:r w:rsidRPr="00131134">
        <w:rPr>
          <w:b/>
        </w:rPr>
        <w:t>Identification</w:t>
      </w:r>
      <w:r>
        <w:t>: the mariner identifies the character of the signal.</w:t>
      </w:r>
    </w:p>
    <w:p w14:paraId="4B43EA6F" w14:textId="77777777" w:rsidR="00990058" w:rsidRDefault="00990058" w:rsidP="00B60EE8">
      <w:pPr>
        <w:pStyle w:val="List1"/>
        <w:numPr>
          <w:ilvl w:val="0"/>
          <w:numId w:val="19"/>
        </w:numPr>
      </w:pPr>
      <w:r w:rsidRPr="00131134">
        <w:rPr>
          <w:b/>
        </w:rPr>
        <w:t>Confirmation</w:t>
      </w:r>
      <w:r>
        <w:t>: the mariner identifies the character of the signal once again, to verify.</w:t>
      </w:r>
    </w:p>
    <w:p w14:paraId="2B5871EC" w14:textId="295269B7" w:rsidR="00990058" w:rsidRPr="00421015" w:rsidRDefault="00990058" w:rsidP="00F36489">
      <w:pPr>
        <w:pStyle w:val="BodyText"/>
        <w:rPr>
          <w:b/>
          <w:u w:val="single"/>
        </w:rPr>
      </w:pPr>
      <w:r w:rsidRPr="00421015">
        <w:rPr>
          <w:b/>
          <w:u w:val="single"/>
        </w:rPr>
        <w:t>Guideline 1073</w:t>
      </w:r>
    </w:p>
    <w:p w14:paraId="59AE5537" w14:textId="220F3393" w:rsidR="00990058" w:rsidRDefault="00421015" w:rsidP="00B60EE8">
      <w:pPr>
        <w:pStyle w:val="List1"/>
        <w:numPr>
          <w:ilvl w:val="0"/>
          <w:numId w:val="20"/>
        </w:numPr>
      </w:pPr>
      <w:r w:rsidRPr="00421015">
        <w:rPr>
          <w:b/>
        </w:rPr>
        <w:t>Detection</w:t>
      </w:r>
      <w:r w:rsidRPr="00421015">
        <w:t xml:space="preserve"> of an AtoN light</w:t>
      </w:r>
      <w:r>
        <w:t xml:space="preserve">: </w:t>
      </w:r>
      <w:r w:rsidRPr="00421015">
        <w:t>The observer is aware of a light</w:t>
      </w:r>
      <w:r>
        <w:t>.</w:t>
      </w:r>
    </w:p>
    <w:p w14:paraId="082C2EE1" w14:textId="6D88DD21" w:rsidR="00421015" w:rsidRDefault="00421015" w:rsidP="00B60EE8">
      <w:pPr>
        <w:pStyle w:val="List1"/>
        <w:numPr>
          <w:ilvl w:val="0"/>
          <w:numId w:val="20"/>
        </w:numPr>
      </w:pPr>
      <w:r w:rsidRPr="00421015">
        <w:rPr>
          <w:b/>
        </w:rPr>
        <w:t>Recognition</w:t>
      </w:r>
      <w:r w:rsidRPr="00421015">
        <w:t xml:space="preserve"> of an AtoN light</w:t>
      </w:r>
      <w:r>
        <w:t xml:space="preserve">: </w:t>
      </w:r>
      <w:r w:rsidRPr="00421015">
        <w:t>The observer is aware that the light is an AtoN light</w:t>
      </w:r>
      <w:r>
        <w:t>.</w:t>
      </w:r>
    </w:p>
    <w:p w14:paraId="4A81B851" w14:textId="4F0449C7" w:rsidR="00421015" w:rsidRDefault="00421015" w:rsidP="00B60EE8">
      <w:pPr>
        <w:pStyle w:val="List1"/>
        <w:numPr>
          <w:ilvl w:val="0"/>
          <w:numId w:val="20"/>
        </w:numPr>
      </w:pPr>
      <w:r w:rsidRPr="00421015">
        <w:rPr>
          <w:b/>
        </w:rPr>
        <w:t>Identification</w:t>
      </w:r>
      <w:r w:rsidRPr="00421015">
        <w:t xml:space="preserve"> of an AtoN light</w:t>
      </w:r>
      <w:r>
        <w:t xml:space="preserve">: </w:t>
      </w:r>
      <w:r w:rsidRPr="00421015">
        <w:t>The observer is aware of the exact AtoN to which the light belongs</w:t>
      </w:r>
      <w:r>
        <w:t>.</w:t>
      </w:r>
    </w:p>
    <w:p w14:paraId="416B5E0F" w14:textId="4DA6CB02" w:rsidR="00421015" w:rsidRDefault="00421015" w:rsidP="00B60EE8">
      <w:pPr>
        <w:pStyle w:val="List1"/>
        <w:numPr>
          <w:ilvl w:val="0"/>
          <w:numId w:val="20"/>
        </w:numPr>
      </w:pPr>
      <w:r w:rsidRPr="00421015">
        <w:rPr>
          <w:b/>
        </w:rPr>
        <w:t>Confirmation</w:t>
      </w:r>
      <w:r w:rsidRPr="00421015">
        <w:t xml:space="preserve"> of an AtoN light</w:t>
      </w:r>
      <w:r>
        <w:t xml:space="preserve">: </w:t>
      </w:r>
      <w:r w:rsidRPr="00421015">
        <w:t>The observer identifies the flash character of the signal once again, to verify</w:t>
      </w:r>
      <w:r>
        <w:t>.</w:t>
      </w:r>
    </w:p>
    <w:p w14:paraId="4F7587F4" w14:textId="77777777" w:rsidR="00755F10" w:rsidRDefault="00755F10">
      <w:pPr>
        <w:rPr>
          <w:rFonts w:ascii="Calibri" w:hAnsi="Calibri"/>
          <w:b/>
          <w:color w:val="0070C0"/>
          <w:sz w:val="24"/>
          <w:szCs w:val="24"/>
        </w:rPr>
      </w:pPr>
      <w:r>
        <w:br w:type="page"/>
      </w:r>
    </w:p>
    <w:p w14:paraId="1735BCC4" w14:textId="1054AD7C" w:rsidR="008E0A97" w:rsidRDefault="008E0A97" w:rsidP="008E0A97">
      <w:pPr>
        <w:pStyle w:val="Heading1"/>
      </w:pPr>
      <w:r>
        <w:lastRenderedPageBreak/>
        <w:t>D</w:t>
      </w:r>
      <w:r w:rsidRPr="008E0A97">
        <w:t>efinition of fluorescence</w:t>
      </w:r>
    </w:p>
    <w:p w14:paraId="3A212566" w14:textId="312E1201" w:rsidR="00755F10" w:rsidRDefault="00755F10" w:rsidP="008E0A97">
      <w:pPr>
        <w:pStyle w:val="BodyText"/>
      </w:pPr>
      <w:r>
        <w:t>The definition of fluorescence in G1134 and in the Dictionary referenced to CIE are different.</w:t>
      </w:r>
    </w:p>
    <w:p w14:paraId="1B6EA32A" w14:textId="73D08CC3" w:rsidR="00755F10" w:rsidRPr="00755F10" w:rsidRDefault="00755F10" w:rsidP="00755F10">
      <w:pPr>
        <w:pStyle w:val="List1"/>
        <w:numPr>
          <w:ilvl w:val="0"/>
          <w:numId w:val="0"/>
        </w:numPr>
        <w:rPr>
          <w:u w:val="single"/>
        </w:rPr>
      </w:pPr>
      <w:r w:rsidRPr="00755F10">
        <w:rPr>
          <w:b/>
          <w:u w:val="single"/>
        </w:rPr>
        <w:t>Guideline G1</w:t>
      </w:r>
      <w:r>
        <w:rPr>
          <w:b/>
          <w:u w:val="single"/>
        </w:rPr>
        <w:t>1</w:t>
      </w:r>
      <w:r w:rsidRPr="00755F10">
        <w:rPr>
          <w:b/>
          <w:u w:val="single"/>
        </w:rPr>
        <w:t>34</w:t>
      </w:r>
    </w:p>
    <w:p w14:paraId="1A81E1BE" w14:textId="76EB82D9" w:rsidR="00755F10" w:rsidRDefault="00755F10" w:rsidP="00755F10">
      <w:pPr>
        <w:pStyle w:val="List1"/>
        <w:numPr>
          <w:ilvl w:val="0"/>
          <w:numId w:val="21"/>
        </w:numPr>
      </w:pPr>
      <w:r>
        <w:t>The definition of fluorescence in the Dictionary is: Photoluminescence which persists for an extremely short time after excitation. Note: This time is generally less than about 10-8 second. Reference: C.I.E. (extract).</w:t>
      </w:r>
    </w:p>
    <w:p w14:paraId="4407A629" w14:textId="5B98520C" w:rsidR="00755F10" w:rsidRDefault="00755F10" w:rsidP="00755F10">
      <w:pPr>
        <w:pStyle w:val="List1"/>
        <w:numPr>
          <w:ilvl w:val="0"/>
          <w:numId w:val="21"/>
        </w:numPr>
      </w:pPr>
      <w:r>
        <w:t xml:space="preserve">The definition of fluorescence in G1134 is: </w:t>
      </w:r>
      <w:r w:rsidRPr="00755F10">
        <w:t>Fluorescence is the process by which electromagnetic radiation of one wavelength is absorbed and re-radiated at another wavelength.  Sometimes a fluorescent material will absorb non-visible light and emit it as visible light.  Fluorescence and ordinary reflectance of radiation take place simultaneously and at the same wavelengths.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BF91BF2" w:rsidR="00F25BF4" w:rsidRPr="007A395D" w:rsidRDefault="00421015" w:rsidP="00F36489">
      <w:pPr>
        <w:pStyle w:val="BodyText"/>
      </w:pPr>
      <w:r>
        <w:t xml:space="preserve">The Committee is requested </w:t>
      </w:r>
      <w:r w:rsidR="00755F10">
        <w:t>to:</w:t>
      </w:r>
    </w:p>
    <w:p w14:paraId="41A1E375" w14:textId="531C68DF" w:rsidR="00F25BF4" w:rsidRDefault="00421015" w:rsidP="00B60EE8">
      <w:pPr>
        <w:pStyle w:val="List1"/>
        <w:numPr>
          <w:ilvl w:val="0"/>
          <w:numId w:val="15"/>
        </w:numPr>
      </w:pPr>
      <w:r>
        <w:t>Consider if G1073 definitions need to be made consistent with the definitions in G1065.</w:t>
      </w:r>
    </w:p>
    <w:p w14:paraId="7DFE9A31" w14:textId="6520D92E" w:rsidR="008E0A97" w:rsidRDefault="008E0A97" w:rsidP="00B60EE8">
      <w:pPr>
        <w:pStyle w:val="List1"/>
        <w:numPr>
          <w:ilvl w:val="0"/>
          <w:numId w:val="15"/>
        </w:numPr>
      </w:pPr>
      <w:r>
        <w:t>Advise if any further work is required in relation to the definitions of the terms from G1065 or G1073 in the Dictionary</w:t>
      </w:r>
    </w:p>
    <w:p w14:paraId="27998716" w14:textId="42761475" w:rsidR="00755F10" w:rsidRDefault="00755F10" w:rsidP="00B60EE8">
      <w:pPr>
        <w:pStyle w:val="List1"/>
        <w:numPr>
          <w:ilvl w:val="0"/>
          <w:numId w:val="15"/>
        </w:numPr>
      </w:pPr>
      <w:r>
        <w:t>Advise if the definition of fluorescence in the Dictionary should be replaced by the definition in G1134</w:t>
      </w:r>
      <w:r w:rsidR="008E0A97">
        <w:t xml:space="preserve"> (2017)</w:t>
      </w:r>
      <w:r>
        <w:t>.</w:t>
      </w:r>
    </w:p>
    <w:sectPr w:rsidR="00755F10" w:rsidSect="004210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0CB31" w14:textId="77777777" w:rsidR="001F30F8" w:rsidRDefault="001F30F8" w:rsidP="00362CD9">
      <w:r>
        <w:separator/>
      </w:r>
    </w:p>
    <w:p w14:paraId="1D4FD4EB" w14:textId="77777777" w:rsidR="001F30F8" w:rsidRDefault="001F30F8"/>
    <w:p w14:paraId="1AA8051A" w14:textId="77777777" w:rsidR="001F30F8" w:rsidRDefault="001F30F8"/>
  </w:endnote>
  <w:endnote w:type="continuationSeparator" w:id="0">
    <w:p w14:paraId="1F9D23C8" w14:textId="77777777" w:rsidR="001F30F8" w:rsidRDefault="001F30F8" w:rsidP="00362CD9">
      <w:r>
        <w:continuationSeparator/>
      </w:r>
    </w:p>
    <w:p w14:paraId="6A727A0F" w14:textId="77777777" w:rsidR="001F30F8" w:rsidRDefault="001F30F8"/>
    <w:p w14:paraId="44C17973" w14:textId="77777777" w:rsidR="001F30F8" w:rsidRDefault="001F3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35ED7" w14:textId="77777777" w:rsidR="005C3FFD" w:rsidRDefault="005C3F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E9664" w14:textId="77777777" w:rsidR="005C3FFD" w:rsidRDefault="005C3F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513F1" w14:textId="77777777" w:rsidR="005C3FFD" w:rsidRDefault="005C3F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0416B" w14:textId="77777777" w:rsidR="001F30F8" w:rsidRDefault="001F30F8" w:rsidP="00362CD9">
      <w:r>
        <w:separator/>
      </w:r>
    </w:p>
    <w:p w14:paraId="339A9358" w14:textId="77777777" w:rsidR="001F30F8" w:rsidRDefault="001F30F8"/>
    <w:p w14:paraId="4C1358E8" w14:textId="77777777" w:rsidR="001F30F8" w:rsidRDefault="001F30F8"/>
  </w:footnote>
  <w:footnote w:type="continuationSeparator" w:id="0">
    <w:p w14:paraId="3713FF48" w14:textId="77777777" w:rsidR="001F30F8" w:rsidRDefault="001F30F8" w:rsidP="00362CD9">
      <w:r>
        <w:continuationSeparator/>
      </w:r>
    </w:p>
    <w:p w14:paraId="153536F7" w14:textId="77777777" w:rsidR="001F30F8" w:rsidRDefault="001F30F8"/>
    <w:p w14:paraId="358A51FC" w14:textId="77777777" w:rsidR="001F30F8" w:rsidRDefault="001F30F8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78A9F" w14:textId="1A49F5FC" w:rsidR="005C3FFD" w:rsidRDefault="005C3FFD">
    <w:pPr>
      <w:pStyle w:val="Header"/>
    </w:pPr>
    <w:r>
      <w:rPr>
        <w:noProof/>
      </w:rPr>
      <w:pict w14:anchorId="1C6CF0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32766" o:spid="_x0000_s2050" type="#_x0000_t136" style="position:absolute;margin-left:0;margin-top:0;width:622.3pt;height:67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C422C" w14:textId="336884D5" w:rsidR="005C3FFD" w:rsidRDefault="005C3FFD">
    <w:pPr>
      <w:pStyle w:val="Header"/>
    </w:pPr>
    <w:r>
      <w:rPr>
        <w:noProof/>
      </w:rPr>
      <w:pict w14:anchorId="2990CF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32767" o:spid="_x0000_s2051" type="#_x0000_t136" style="position:absolute;margin-left:0;margin-top:0;width:622.3pt;height:67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05E92" w14:textId="24272EDA" w:rsidR="005C3FFD" w:rsidRDefault="005C3FFD">
    <w:pPr>
      <w:pStyle w:val="Header"/>
    </w:pPr>
    <w:r>
      <w:rPr>
        <w:noProof/>
      </w:rPr>
      <w:pict w14:anchorId="188E3F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32765" o:spid="_x0000_s2049" type="#_x0000_t136" style="position:absolute;margin-left:0;margin-top:0;width:622.3pt;height:67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839432B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B3667F4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86A5C34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7"/>
  </w:num>
  <w:num w:numId="4">
    <w:abstractNumId w:val="8"/>
  </w:num>
  <w:num w:numId="5">
    <w:abstractNumId w:val="5"/>
  </w:num>
  <w:num w:numId="6">
    <w:abstractNumId w:val="14"/>
  </w:num>
  <w:num w:numId="7">
    <w:abstractNumId w:val="13"/>
  </w:num>
  <w:num w:numId="8">
    <w:abstractNumId w:val="16"/>
  </w:num>
  <w:num w:numId="9">
    <w:abstractNumId w:val="4"/>
  </w:num>
  <w:num w:numId="10">
    <w:abstractNumId w:val="15"/>
  </w:num>
  <w:num w:numId="11">
    <w:abstractNumId w:val="10"/>
  </w:num>
  <w:num w:numId="12">
    <w:abstractNumId w:val="9"/>
  </w:num>
  <w:num w:numId="13">
    <w:abstractNumId w:val="3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"/>
  </w:num>
  <w:num w:numId="18">
    <w:abstractNumId w:val="2"/>
  </w:num>
  <w:num w:numId="19">
    <w:abstractNumId w:val="19"/>
  </w:num>
  <w:num w:numId="20">
    <w:abstractNumId w:val="7"/>
  </w:num>
  <w:num w:numId="21">
    <w:abstractNumId w:val="6"/>
  </w:num>
  <w:num w:numId="22">
    <w:abstractNumId w:val="10"/>
  </w:num>
  <w:num w:numId="23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84867"/>
    <w:rsid w:val="001B2A2D"/>
    <w:rsid w:val="001B737D"/>
    <w:rsid w:val="001C44A3"/>
    <w:rsid w:val="001C7BE2"/>
    <w:rsid w:val="001E0E15"/>
    <w:rsid w:val="001F30F8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7438B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67CA"/>
    <w:rsid w:val="003B7B7D"/>
    <w:rsid w:val="003C54CB"/>
    <w:rsid w:val="003C7A2A"/>
    <w:rsid w:val="003D2DC1"/>
    <w:rsid w:val="003D69D0"/>
    <w:rsid w:val="003F2918"/>
    <w:rsid w:val="003F430E"/>
    <w:rsid w:val="00402BEE"/>
    <w:rsid w:val="0041088C"/>
    <w:rsid w:val="00420A38"/>
    <w:rsid w:val="00421015"/>
    <w:rsid w:val="00431B19"/>
    <w:rsid w:val="004520B3"/>
    <w:rsid w:val="004661AD"/>
    <w:rsid w:val="004737B9"/>
    <w:rsid w:val="004D1D85"/>
    <w:rsid w:val="004D3C3A"/>
    <w:rsid w:val="004D4279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3FFD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55F10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E0A97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0058"/>
    <w:rsid w:val="0099161D"/>
    <w:rsid w:val="009B5263"/>
    <w:rsid w:val="00A01AB0"/>
    <w:rsid w:val="00A0389B"/>
    <w:rsid w:val="00A33AE9"/>
    <w:rsid w:val="00A35999"/>
    <w:rsid w:val="00A446C9"/>
    <w:rsid w:val="00A635D6"/>
    <w:rsid w:val="00A8553A"/>
    <w:rsid w:val="00A930C1"/>
    <w:rsid w:val="00A93AED"/>
    <w:rsid w:val="00AD0D09"/>
    <w:rsid w:val="00AE1319"/>
    <w:rsid w:val="00AE144D"/>
    <w:rsid w:val="00AE34BB"/>
    <w:rsid w:val="00B1029F"/>
    <w:rsid w:val="00B226F2"/>
    <w:rsid w:val="00B274DF"/>
    <w:rsid w:val="00B56BDF"/>
    <w:rsid w:val="00B60EE8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04B1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customStyle="1" w:styleId="Lista">
    <w:name w:val="List a"/>
    <w:basedOn w:val="Normal"/>
    <w:qFormat/>
    <w:rsid w:val="00990058"/>
    <w:pPr>
      <w:tabs>
        <w:tab w:val="num" w:pos="0"/>
      </w:tabs>
      <w:spacing w:after="120"/>
      <w:ind w:left="1134" w:hanging="567"/>
      <w:jc w:val="both"/>
    </w:pPr>
    <w:rPr>
      <w:rFonts w:asciiTheme="minorHAnsi" w:eastAsia="Times New Roman" w:hAnsiTheme="minorHAnsi" w:cs="Times New Roman"/>
      <w:szCs w:val="20"/>
    </w:rPr>
  </w:style>
  <w:style w:type="paragraph" w:customStyle="1" w:styleId="Listi">
    <w:name w:val="List i"/>
    <w:basedOn w:val="Normal"/>
    <w:qFormat/>
    <w:rsid w:val="00990058"/>
    <w:pPr>
      <w:spacing w:after="120" w:line="216" w:lineRule="atLeast"/>
      <w:ind w:left="567" w:firstLine="567"/>
    </w:pPr>
    <w:rPr>
      <w:rFonts w:asciiTheme="minorHAnsi" w:eastAsiaTheme="minorHAnsi" w:hAnsiTheme="minorHAnsi" w:cstheme="minorBidi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AF38-6530-4474-A1AE-13EA5D0E6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11</cp:revision>
  <dcterms:created xsi:type="dcterms:W3CDTF">2018-02-18T14:51:00Z</dcterms:created>
  <dcterms:modified xsi:type="dcterms:W3CDTF">2018-08-01T17:00:00Z</dcterms:modified>
</cp:coreProperties>
</file>